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1B94"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B2C680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C32315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阅读推广展示项目指标及说明</w:t>
      </w:r>
    </w:p>
    <w:bookmarkEnd w:id="0"/>
    <w:p w14:paraId="77830A68">
      <w:pPr>
        <w:jc w:val="left"/>
      </w:pPr>
    </w:p>
    <w:p w14:paraId="655E4AD6">
      <w:pPr>
        <w:jc w:val="left"/>
      </w:pPr>
    </w:p>
    <w:tbl>
      <w:tblPr>
        <w:tblStyle w:val="3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6636"/>
      </w:tblGrid>
      <w:tr w14:paraId="1EC2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tblHeader/>
          <w:jc w:val="center"/>
        </w:trPr>
        <w:tc>
          <w:tcPr>
            <w:tcW w:w="1990" w:type="dxa"/>
            <w:noWrap w:val="0"/>
            <w:vAlign w:val="center"/>
          </w:tcPr>
          <w:p w14:paraId="36DC3475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</w:t>
            </w:r>
          </w:p>
        </w:tc>
        <w:tc>
          <w:tcPr>
            <w:tcW w:w="6636" w:type="dxa"/>
            <w:noWrap w:val="0"/>
            <w:vAlign w:val="top"/>
          </w:tcPr>
          <w:p w14:paraId="33FFA5E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8D5656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指标说明</w:t>
            </w:r>
          </w:p>
          <w:p w14:paraId="1C282C7D"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5F5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6" w:type="dxa"/>
            <w:gridSpan w:val="2"/>
            <w:noWrap w:val="0"/>
            <w:vAlign w:val="center"/>
          </w:tcPr>
          <w:p w14:paraId="566086E9">
            <w:pPr>
              <w:spacing w:line="240" w:lineRule="exact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一、活动策划</w:t>
            </w:r>
          </w:p>
        </w:tc>
      </w:tr>
      <w:tr w14:paraId="1BC1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90" w:type="dxa"/>
            <w:noWrap w:val="0"/>
            <w:vAlign w:val="center"/>
          </w:tcPr>
          <w:p w14:paraId="69466336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活动专业性</w:t>
            </w:r>
          </w:p>
        </w:tc>
        <w:tc>
          <w:tcPr>
            <w:tcW w:w="6636" w:type="dxa"/>
            <w:noWrap w:val="0"/>
            <w:vAlign w:val="top"/>
          </w:tcPr>
          <w:p w14:paraId="6DF80F39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立足图书馆资源、阵地与服务，活动能充分体现图书馆的专业化水平，有助于促进形成社会阅读氛围和提升图书馆社会形象</w:t>
            </w:r>
          </w:p>
        </w:tc>
      </w:tr>
      <w:tr w14:paraId="324E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2DACC3AD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.活动创新性</w:t>
            </w:r>
          </w:p>
        </w:tc>
        <w:tc>
          <w:tcPr>
            <w:tcW w:w="6636" w:type="dxa"/>
            <w:noWrap w:val="0"/>
            <w:vAlign w:val="center"/>
          </w:tcPr>
          <w:p w14:paraId="722AE1D1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结合本地或本馆特色和定位，活动的主题、对象、内容、形式具有独特创意</w:t>
            </w:r>
          </w:p>
        </w:tc>
      </w:tr>
      <w:tr w14:paraId="798A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219323CC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3.活动规划性</w:t>
            </w:r>
          </w:p>
        </w:tc>
        <w:tc>
          <w:tcPr>
            <w:tcW w:w="6636" w:type="dxa"/>
            <w:noWrap w:val="0"/>
            <w:vAlign w:val="center"/>
          </w:tcPr>
          <w:p w14:paraId="761FA1FC">
            <w:pPr>
              <w:jc w:val="left"/>
              <w:rPr>
                <w:rFonts w:hint="eastAsia" w:ascii="宋体" w:hAnsi="宋体" w:cs="宋体"/>
                <w:b/>
                <w:bCs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对活动进行系统考量和整体规划，支持活动的阶段性任务和长期性开展</w:t>
            </w:r>
          </w:p>
        </w:tc>
      </w:tr>
      <w:tr w14:paraId="645F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6" w:type="dxa"/>
            <w:gridSpan w:val="2"/>
            <w:noWrap w:val="0"/>
            <w:vAlign w:val="center"/>
          </w:tcPr>
          <w:p w14:paraId="704706D6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二、活动保障</w:t>
            </w:r>
          </w:p>
        </w:tc>
      </w:tr>
      <w:tr w14:paraId="37C1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90" w:type="dxa"/>
            <w:noWrap w:val="0"/>
            <w:vAlign w:val="center"/>
          </w:tcPr>
          <w:p w14:paraId="4FE81745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4.经费支持</w:t>
            </w:r>
          </w:p>
        </w:tc>
        <w:tc>
          <w:tcPr>
            <w:tcW w:w="6636" w:type="dxa"/>
            <w:noWrap w:val="0"/>
            <w:vAlign w:val="center"/>
          </w:tcPr>
          <w:p w14:paraId="627F47D8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专项活动经费或其他资金支持</w:t>
            </w:r>
          </w:p>
        </w:tc>
      </w:tr>
      <w:tr w14:paraId="35E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30DD343B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5.文献资源</w:t>
            </w:r>
          </w:p>
        </w:tc>
        <w:tc>
          <w:tcPr>
            <w:tcW w:w="6636" w:type="dxa"/>
            <w:noWrap w:val="0"/>
            <w:vAlign w:val="center"/>
          </w:tcPr>
          <w:p w14:paraId="0BEAAE84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配备相应的馆藏文献资源，并能充分利用及有效推广</w:t>
            </w:r>
          </w:p>
        </w:tc>
      </w:tr>
      <w:tr w14:paraId="43DF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787F7098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6.人员支持</w:t>
            </w:r>
          </w:p>
        </w:tc>
        <w:tc>
          <w:tcPr>
            <w:tcW w:w="6636" w:type="dxa"/>
            <w:noWrap w:val="0"/>
            <w:vAlign w:val="center"/>
          </w:tcPr>
          <w:p w14:paraId="307F4682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组织或协助活动开展的人员配置情况</w:t>
            </w:r>
          </w:p>
        </w:tc>
      </w:tr>
      <w:tr w14:paraId="6497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52FC78E9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7.社会力量参与</w:t>
            </w:r>
          </w:p>
        </w:tc>
        <w:tc>
          <w:tcPr>
            <w:tcW w:w="6636" w:type="dxa"/>
            <w:noWrap w:val="0"/>
            <w:vAlign w:val="center"/>
          </w:tcPr>
          <w:p w14:paraId="7B9D6B15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企事业单位、民间组织、志愿者等社会力量参与情况</w:t>
            </w:r>
          </w:p>
        </w:tc>
      </w:tr>
      <w:tr w14:paraId="2996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6" w:type="dxa"/>
            <w:gridSpan w:val="2"/>
            <w:noWrap w:val="0"/>
            <w:vAlign w:val="center"/>
          </w:tcPr>
          <w:p w14:paraId="47559B6D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三、活动实施</w:t>
            </w:r>
          </w:p>
        </w:tc>
      </w:tr>
      <w:tr w14:paraId="5DF6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5F18250A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8.开展方式</w:t>
            </w:r>
          </w:p>
        </w:tc>
        <w:tc>
          <w:tcPr>
            <w:tcW w:w="6636" w:type="dxa"/>
            <w:noWrap w:val="0"/>
            <w:vAlign w:val="center"/>
          </w:tcPr>
          <w:p w14:paraId="515B4937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活动形式多样，具有一定的丰富度、互动性、趣味性</w:t>
            </w:r>
          </w:p>
        </w:tc>
      </w:tr>
      <w:tr w14:paraId="6D60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74649E1A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</w:t>
            </w:r>
            <w:r>
              <w:rPr>
                <w:rFonts w:ascii="宋体" w:hAnsi="宋体" w:cs="宋体"/>
                <w:sz w:val="24"/>
              </w:rPr>
              <w:t>持续时间及频次</w:t>
            </w:r>
          </w:p>
        </w:tc>
        <w:tc>
          <w:tcPr>
            <w:tcW w:w="6636" w:type="dxa"/>
            <w:noWrap w:val="0"/>
            <w:vAlign w:val="center"/>
          </w:tcPr>
          <w:p w14:paraId="25895C66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活动开展的时间范围及举办频次</w:t>
            </w:r>
          </w:p>
        </w:tc>
      </w:tr>
      <w:tr w14:paraId="1456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35890054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</w:t>
            </w:r>
            <w:r>
              <w:rPr>
                <w:rFonts w:ascii="宋体" w:hAnsi="宋体" w:cs="宋体"/>
                <w:sz w:val="24"/>
              </w:rPr>
              <w:t>规范</w:t>
            </w:r>
            <w:r>
              <w:rPr>
                <w:rFonts w:hint="eastAsia" w:ascii="宋体" w:hAnsi="宋体" w:cs="宋体"/>
                <w:sz w:val="24"/>
              </w:rPr>
              <w:t>管理</w:t>
            </w:r>
          </w:p>
        </w:tc>
        <w:tc>
          <w:tcPr>
            <w:tcW w:w="6636" w:type="dxa"/>
            <w:noWrap w:val="0"/>
            <w:vAlign w:val="center"/>
          </w:tcPr>
          <w:p w14:paraId="6660A174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对活动各阶段进行过程管理，形成规范指南</w:t>
            </w:r>
          </w:p>
        </w:tc>
      </w:tr>
      <w:tr w14:paraId="4267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3EEC7BB6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11.评估优化</w:t>
            </w:r>
          </w:p>
        </w:tc>
        <w:tc>
          <w:tcPr>
            <w:tcW w:w="6636" w:type="dxa"/>
            <w:noWrap w:val="0"/>
            <w:vAlign w:val="center"/>
          </w:tcPr>
          <w:p w14:paraId="22E596E7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具有整体评估体系或方案，能对活动效果或实际问题进行优化提升</w:t>
            </w:r>
          </w:p>
        </w:tc>
      </w:tr>
      <w:tr w14:paraId="29D6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6" w:type="dxa"/>
            <w:gridSpan w:val="2"/>
            <w:noWrap w:val="0"/>
            <w:vAlign w:val="center"/>
          </w:tcPr>
          <w:p w14:paraId="08E6C61D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四、活动效能</w:t>
            </w:r>
          </w:p>
        </w:tc>
      </w:tr>
      <w:tr w14:paraId="5CCE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5F5A78FE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12.参与人次</w:t>
            </w:r>
          </w:p>
        </w:tc>
        <w:tc>
          <w:tcPr>
            <w:tcW w:w="6636" w:type="dxa"/>
            <w:noWrap w:val="0"/>
            <w:vAlign w:val="center"/>
          </w:tcPr>
          <w:p w14:paraId="1A828F04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活动举办期间通过线下或线上方式参与活动的读者总人次</w:t>
            </w:r>
          </w:p>
        </w:tc>
      </w:tr>
      <w:tr w14:paraId="10D5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7DE9B42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13.读者满意度</w:t>
            </w:r>
          </w:p>
        </w:tc>
        <w:tc>
          <w:tcPr>
            <w:tcW w:w="6636" w:type="dxa"/>
            <w:noWrap w:val="0"/>
            <w:vAlign w:val="center"/>
          </w:tcPr>
          <w:p w14:paraId="685E4734">
            <w:pPr>
              <w:widowControl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读者参与活动后的满意度情况调查</w:t>
            </w:r>
          </w:p>
        </w:tc>
      </w:tr>
      <w:tr w14:paraId="7B70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400F75F3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14.社会影响力</w:t>
            </w:r>
          </w:p>
        </w:tc>
        <w:tc>
          <w:tcPr>
            <w:tcW w:w="6636" w:type="dxa"/>
            <w:noWrap w:val="0"/>
            <w:vAlign w:val="center"/>
          </w:tcPr>
          <w:p w14:paraId="48C0EF2F">
            <w:pPr>
              <w:widowControl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对本区域、本系统和本行业的示范带动作用，如对活动进行专题报告、案例分享、经验交流，或制定阅读推广工具包供其他图书馆借鉴、复制等</w:t>
            </w:r>
          </w:p>
        </w:tc>
      </w:tr>
      <w:tr w14:paraId="3D76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33282C6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15.媒体宣传报道</w:t>
            </w:r>
          </w:p>
        </w:tc>
        <w:tc>
          <w:tcPr>
            <w:tcW w:w="6636" w:type="dxa"/>
            <w:noWrap w:val="0"/>
            <w:vAlign w:val="center"/>
          </w:tcPr>
          <w:p w14:paraId="57334A62">
            <w:pPr>
              <w:widowControl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sz w:val="24"/>
              </w:rPr>
              <w:t>各类</w:t>
            </w:r>
            <w:r>
              <w:rPr>
                <w:rFonts w:hint="eastAsia" w:ascii="宋体" w:hAnsi="宋体" w:cs="宋体"/>
                <w:sz w:val="24"/>
              </w:rPr>
              <w:t>媒体对活动的报道情况</w:t>
            </w:r>
          </w:p>
        </w:tc>
      </w:tr>
      <w:tr w14:paraId="26E7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6CF46A5C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15.1媒体宣传报道次数</w:t>
            </w:r>
          </w:p>
        </w:tc>
        <w:tc>
          <w:tcPr>
            <w:tcW w:w="6636" w:type="dxa"/>
            <w:noWrap w:val="0"/>
            <w:vAlign w:val="center"/>
          </w:tcPr>
          <w:p w14:paraId="37F0531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媒体宣传报道总数（次），包括报纸、电台、电视台、网络、自媒体、短视频等（同一宣传内容不同媒体报道可累计计算）</w:t>
            </w:r>
          </w:p>
        </w:tc>
      </w:tr>
      <w:tr w14:paraId="2B26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08F82352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15.2主流媒体报道</w:t>
            </w:r>
          </w:p>
        </w:tc>
        <w:tc>
          <w:tcPr>
            <w:tcW w:w="6636" w:type="dxa"/>
            <w:noWrap w:val="0"/>
            <w:vAlign w:val="center"/>
          </w:tcPr>
          <w:p w14:paraId="7FBF359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被中央级、省部级主流媒体报道</w:t>
            </w:r>
          </w:p>
        </w:tc>
      </w:tr>
      <w:tr w14:paraId="4F9A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7352B864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16. </w:t>
            </w:r>
            <w:r>
              <w:rPr>
                <w:rFonts w:hint="eastAsia" w:ascii="宋体" w:hAnsi="宋体" w:cs="宋体"/>
                <w:sz w:val="24"/>
              </w:rPr>
              <w:t>表扬和鼓励</w:t>
            </w:r>
          </w:p>
        </w:tc>
        <w:tc>
          <w:tcPr>
            <w:tcW w:w="6636" w:type="dxa"/>
            <w:noWrap w:val="0"/>
            <w:vAlign w:val="center"/>
          </w:tcPr>
          <w:p w14:paraId="17312CEA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活动获得的各类表扬和鼓励情况</w:t>
            </w:r>
          </w:p>
        </w:tc>
      </w:tr>
      <w:tr w14:paraId="00F2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6" w:type="dxa"/>
            <w:gridSpan w:val="2"/>
            <w:noWrap w:val="0"/>
            <w:vAlign w:val="center"/>
          </w:tcPr>
          <w:p w14:paraId="7FA96B24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五、案例撰写与佐证材料</w:t>
            </w:r>
          </w:p>
        </w:tc>
      </w:tr>
      <w:tr w14:paraId="5DEB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739613F9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17.案例撰写情况</w:t>
            </w:r>
          </w:p>
        </w:tc>
        <w:tc>
          <w:tcPr>
            <w:tcW w:w="6636" w:type="dxa"/>
            <w:noWrap w:val="0"/>
            <w:vAlign w:val="center"/>
          </w:tcPr>
          <w:p w14:paraId="264DEB6F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按要求填写申报表，内容完备，能完整概括案例情况</w:t>
            </w:r>
          </w:p>
        </w:tc>
      </w:tr>
      <w:tr w14:paraId="2F2A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90" w:type="dxa"/>
            <w:noWrap w:val="0"/>
            <w:vAlign w:val="center"/>
          </w:tcPr>
          <w:p w14:paraId="29A48EA9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18.佐证材料情况</w:t>
            </w:r>
          </w:p>
        </w:tc>
        <w:tc>
          <w:tcPr>
            <w:tcW w:w="6636" w:type="dxa"/>
            <w:noWrap w:val="0"/>
            <w:vAlign w:val="center"/>
          </w:tcPr>
          <w:p w14:paraId="5699F794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根据活动情况和申报表内容提供相应佐证材料，材料真实，内容丰富</w:t>
            </w:r>
          </w:p>
        </w:tc>
      </w:tr>
    </w:tbl>
    <w:p w14:paraId="498F0AB3">
      <w:pPr>
        <w:spacing w:line="720" w:lineRule="exact"/>
        <w:jc w:val="left"/>
        <w:rPr>
          <w:rFonts w:hint="eastAsia" w:ascii="方正小标宋简体" w:hAnsi="方正小标宋简体" w:eastAsia="方正小标宋简体" w:cs="方正小标宋简体"/>
          <w:bCs/>
          <w:spacing w:val="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1"/>
          <w:sz w:val="32"/>
          <w:szCs w:val="32"/>
        </w:rPr>
        <w:t>指标说明：</w:t>
      </w:r>
    </w:p>
    <w:p w14:paraId="33929B7C"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w:t>1.“阅读推广展示项目”具有明确的品牌效应和社会影响力，因此，“阅读推广展示项目”申报及评审指标分为</w:t>
      </w:r>
      <w:r>
        <w:rPr>
          <w:rFonts w:hint="eastAsia" w:ascii="仿宋_GB2312" w:hAnsi="仿宋_GB2312" w:eastAsia="仿宋_GB2312" w:cs="仿宋_GB2312"/>
          <w:sz w:val="28"/>
          <w:szCs w:val="28"/>
        </w:rPr>
        <w:t>五大类指标，分别为：活动策划、活动保障、活动实施、活动效能、案例撰写与佐证材料。</w:t>
      </w:r>
    </w:p>
    <w:p w14:paraId="15E54300">
      <w:pPr>
        <w:widowControl/>
        <w:spacing w:line="52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2.申报表中的指标，申报图书馆都应据实际进行填列，不符合自身实际的指标可以填“无”。</w:t>
      </w:r>
    </w:p>
    <w:p w14:paraId="6C1AB1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2101"/>
    <w:rsid w:val="31F5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2026-01-21T02:16:00Z</dcterms:created>
  <dc:creator>王焱</dc:creator>
  <cp:lastModifiedBy>王焱</cp:lastModifiedBy>
  <dcterms:modified xsi:type="dcterms:W3CDTF">2026-01-21T02:16:29Z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6B95E7B7702246668A9069D2A56D1293_11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